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299" w:rsidRPr="003F279A" w:rsidRDefault="00703299" w:rsidP="00703299">
      <w:pPr>
        <w:pStyle w:val="Paragraphedeliste"/>
        <w:spacing w:after="200" w:line="276" w:lineRule="auto"/>
        <w:ind w:left="0"/>
        <w:rPr>
          <w:rFonts w:ascii="Times New Roman" w:eastAsia="Times New Roman" w:hAnsi="Times New Roman" w:cs="Times New Roman"/>
          <w:b/>
          <w:sz w:val="24"/>
          <w:szCs w:val="24"/>
          <w:shd w:val="clear" w:color="auto" w:fill="FFFFFF"/>
          <w:lang w:eastAsia="fr-FR"/>
        </w:rPr>
      </w:pPr>
      <w:r w:rsidRPr="003F279A">
        <w:rPr>
          <w:rFonts w:ascii="Times New Roman" w:eastAsia="Times New Roman" w:hAnsi="Times New Roman" w:cs="Times New Roman"/>
          <w:b/>
          <w:sz w:val="24"/>
          <w:szCs w:val="24"/>
          <w:u w:val="single"/>
          <w:shd w:val="clear" w:color="auto" w:fill="FFFFFF"/>
          <w:lang w:eastAsia="fr-FR"/>
        </w:rPr>
        <w:t>Module :</w:t>
      </w:r>
      <w:r w:rsidRPr="003F279A">
        <w:rPr>
          <w:rFonts w:ascii="Times New Roman" w:eastAsia="Times New Roman" w:hAnsi="Times New Roman" w:cs="Times New Roman"/>
          <w:b/>
          <w:sz w:val="24"/>
          <w:szCs w:val="24"/>
          <w:shd w:val="clear" w:color="auto" w:fill="FFFFFF"/>
          <w:lang w:eastAsia="fr-FR"/>
        </w:rPr>
        <w:t xml:space="preserve"> culture(s) et civilisation(s) de la langue.</w:t>
      </w:r>
    </w:p>
    <w:p w:rsidR="00703299" w:rsidRPr="003F279A" w:rsidRDefault="00703299" w:rsidP="00703299">
      <w:pPr>
        <w:pStyle w:val="Paragraphedeliste"/>
        <w:spacing w:before="200" w:after="200" w:line="276" w:lineRule="auto"/>
        <w:ind w:left="0"/>
        <w:rPr>
          <w:rFonts w:asciiTheme="majorBidi" w:hAnsiTheme="majorBidi" w:cstheme="majorBidi"/>
          <w:b/>
          <w:sz w:val="24"/>
          <w:szCs w:val="24"/>
        </w:rPr>
      </w:pPr>
      <w:r w:rsidRPr="003F279A">
        <w:rPr>
          <w:rFonts w:ascii="Times New Roman" w:eastAsia="Times New Roman" w:hAnsi="Times New Roman" w:cs="Times New Roman"/>
          <w:b/>
          <w:sz w:val="24"/>
          <w:szCs w:val="24"/>
          <w:u w:val="single"/>
          <w:shd w:val="clear" w:color="auto" w:fill="FFFFFF"/>
          <w:lang w:eastAsia="fr-FR"/>
        </w:rPr>
        <w:t>Cours :</w:t>
      </w:r>
      <w:r w:rsidRPr="003F279A">
        <w:rPr>
          <w:rFonts w:ascii="Times New Roman" w:eastAsia="Times New Roman" w:hAnsi="Times New Roman" w:cs="Times New Roman"/>
          <w:b/>
          <w:sz w:val="24"/>
          <w:szCs w:val="24"/>
          <w:shd w:val="clear" w:color="auto" w:fill="FFFFFF"/>
          <w:lang w:eastAsia="fr-FR"/>
        </w:rPr>
        <w:t xml:space="preserve"> </w:t>
      </w:r>
      <w:r w:rsidRPr="003F279A">
        <w:rPr>
          <w:rFonts w:asciiTheme="majorBidi" w:hAnsiTheme="majorBidi" w:cstheme="majorBidi"/>
          <w:b/>
          <w:sz w:val="24"/>
          <w:szCs w:val="24"/>
        </w:rPr>
        <w:t>Les grandes époques de l’Histoire</w:t>
      </w:r>
    </w:p>
    <w:p w:rsidR="00703299" w:rsidRPr="003F279A" w:rsidRDefault="00703299" w:rsidP="00703299">
      <w:pPr>
        <w:pStyle w:val="Paragraphedeliste"/>
        <w:spacing w:before="200" w:after="200" w:line="276" w:lineRule="auto"/>
        <w:ind w:left="0"/>
        <w:rPr>
          <w:rFonts w:asciiTheme="majorBidi" w:hAnsiTheme="majorBidi" w:cstheme="majorBidi"/>
          <w:b/>
          <w:sz w:val="24"/>
          <w:szCs w:val="24"/>
        </w:rPr>
      </w:pPr>
    </w:p>
    <w:p w:rsidR="00703299" w:rsidRPr="003F279A" w:rsidRDefault="00703299" w:rsidP="00703299">
      <w:pPr>
        <w:pStyle w:val="Paragraphedeliste"/>
        <w:spacing w:before="200" w:after="200" w:line="276" w:lineRule="auto"/>
        <w:ind w:left="0" w:firstLine="567"/>
        <w:jc w:val="both"/>
        <w:rPr>
          <w:rFonts w:ascii="Times New Roman" w:hAnsi="Times New Roman" w:cs="Times New Roman"/>
          <w:sz w:val="24"/>
          <w:szCs w:val="24"/>
        </w:rPr>
      </w:pPr>
      <w:r w:rsidRPr="003F279A">
        <w:rPr>
          <w:rFonts w:ascii="Times New Roman" w:hAnsi="Times New Roman" w:cs="Times New Roman"/>
          <w:sz w:val="24"/>
          <w:szCs w:val="24"/>
        </w:rPr>
        <w:t>L’Histoire c’est la science qui étudie le passé de l’Homme, elle est aussi un ensemble des évènements qui ont eu lieu dans le monde dans le passé (des guerres des inventions, des modes de vie …).</w:t>
      </w:r>
    </w:p>
    <w:p w:rsidR="00703299" w:rsidRPr="003F279A" w:rsidRDefault="00703299" w:rsidP="00703299">
      <w:pPr>
        <w:spacing w:after="0" w:line="276" w:lineRule="auto"/>
        <w:ind w:firstLine="567"/>
        <w:jc w:val="both"/>
        <w:rPr>
          <w:rFonts w:ascii="Times New Roman" w:eastAsia="Times New Roman" w:hAnsi="Times New Roman" w:cs="Times New Roman"/>
          <w:sz w:val="24"/>
          <w:szCs w:val="24"/>
          <w:shd w:val="clear" w:color="auto" w:fill="FFFFFF"/>
          <w:lang w:eastAsia="fr-FR"/>
        </w:rPr>
      </w:pPr>
      <w:r w:rsidRPr="003F279A">
        <w:rPr>
          <w:rFonts w:ascii="Times New Roman" w:eastAsia="Times New Roman" w:hAnsi="Times New Roman" w:cs="Times New Roman"/>
          <w:sz w:val="24"/>
          <w:szCs w:val="24"/>
          <w:shd w:val="clear" w:color="auto" w:fill="FFFFFF"/>
          <w:lang w:eastAsia="fr-FR"/>
        </w:rPr>
        <w:t xml:space="preserve">Les historiens occidentaux ont déterminé des périodes majeures de l'Histoire comme suit : </w:t>
      </w:r>
    </w:p>
    <w:p w:rsidR="00703299" w:rsidRDefault="00703299" w:rsidP="00703299">
      <w:pPr>
        <w:pStyle w:val="Paragraphedeliste"/>
        <w:numPr>
          <w:ilvl w:val="0"/>
          <w:numId w:val="1"/>
        </w:numPr>
        <w:spacing w:line="276" w:lineRule="auto"/>
        <w:jc w:val="both"/>
        <w:rPr>
          <w:rFonts w:ascii="Times New Roman" w:hAnsi="Times New Roman" w:cs="Times New Roman"/>
          <w:sz w:val="24"/>
          <w:szCs w:val="24"/>
          <w:shd w:val="clear" w:color="auto" w:fill="FFFFFF"/>
        </w:rPr>
      </w:pPr>
      <w:r w:rsidRPr="003F279A">
        <w:rPr>
          <w:rFonts w:ascii="Times New Roman" w:hAnsi="Times New Roman" w:cs="Times New Roman"/>
          <w:b/>
          <w:sz w:val="24"/>
          <w:szCs w:val="24"/>
          <w:shd w:val="clear" w:color="auto" w:fill="FFFFFF"/>
        </w:rPr>
        <w:t>La </w:t>
      </w:r>
      <w:hyperlink r:id="rId5" w:tooltip="Préhistoire" w:history="1">
        <w:r w:rsidRPr="003F279A">
          <w:rPr>
            <w:rStyle w:val="Lienhypertexte"/>
            <w:rFonts w:ascii="Times New Roman" w:hAnsi="Times New Roman" w:cs="Times New Roman"/>
            <w:b/>
            <w:color w:val="auto"/>
            <w:sz w:val="24"/>
            <w:szCs w:val="24"/>
            <w:u w:val="none"/>
            <w:shd w:val="clear" w:color="auto" w:fill="FFFFFF"/>
          </w:rPr>
          <w:t>Préhistoire</w:t>
        </w:r>
      </w:hyperlink>
      <w:r w:rsidRPr="003F279A">
        <w:rPr>
          <w:rStyle w:val="Lienhypertexte"/>
          <w:rFonts w:ascii="Times New Roman" w:hAnsi="Times New Roman" w:cs="Times New Roman"/>
          <w:b/>
          <w:color w:val="auto"/>
          <w:sz w:val="24"/>
          <w:szCs w:val="24"/>
          <w:u w:val="none"/>
          <w:shd w:val="clear" w:color="auto" w:fill="FFFFFF"/>
        </w:rPr>
        <w:t> </w:t>
      </w:r>
      <w:r w:rsidRPr="003F279A">
        <w:rPr>
          <w:rFonts w:ascii="Times New Roman" w:hAnsi="Times New Roman" w:cs="Times New Roman"/>
          <w:b/>
          <w:sz w:val="24"/>
          <w:szCs w:val="24"/>
          <w:shd w:val="clear" w:color="auto" w:fill="FFFFFF"/>
        </w:rPr>
        <w:t xml:space="preserve">: </w:t>
      </w:r>
      <w:r w:rsidRPr="003F279A">
        <w:rPr>
          <w:rFonts w:ascii="Times New Roman" w:hAnsi="Times New Roman" w:cs="Times New Roman"/>
          <w:sz w:val="24"/>
          <w:szCs w:val="24"/>
          <w:shd w:val="clear" w:color="auto" w:fill="FFFFFF"/>
        </w:rPr>
        <w:t>est une très longue période qui a commencé il y a plusieurs millions d'années, depuis les </w:t>
      </w:r>
      <w:hyperlink r:id="rId6" w:tooltip="Origines de l'homme" w:history="1">
        <w:r w:rsidRPr="003F279A">
          <w:rPr>
            <w:rStyle w:val="Lienhypertexte"/>
            <w:rFonts w:ascii="Times New Roman" w:hAnsi="Times New Roman" w:cs="Times New Roman"/>
            <w:color w:val="auto"/>
            <w:sz w:val="24"/>
            <w:szCs w:val="24"/>
            <w:u w:val="none"/>
            <w:shd w:val="clear" w:color="auto" w:fill="FFFFFF"/>
          </w:rPr>
          <w:t>origines de l'Homme</w:t>
        </w:r>
      </w:hyperlink>
      <w:r w:rsidRPr="003F279A">
        <w:rPr>
          <w:rFonts w:ascii="Times New Roman" w:hAnsi="Times New Roman" w:cs="Times New Roman"/>
          <w:sz w:val="24"/>
          <w:szCs w:val="24"/>
          <w:shd w:val="clear" w:color="auto" w:fill="FFFFFF"/>
        </w:rPr>
        <w:t>. C'est le temps de l’Homme de la caverne. Elle est traditionnellement divisée en deux sous-périodes : a- l’âge de la pierre taillée : elle dure des centaines de milliers d'années, au cours desquelles l'homme maîtrise le feu, des sépultures pour ses semblables, la navigation au long cours, perfectionne ses techniques et ses instruments de chasse et de pêche. L'homme est un prédateur nomade qui tire ses ressources du milieu. b- l’âge de la pierre polie : cette période commence avec la maîtrise de l'agriculture et de l'élevage, entraînant la sédentarisation des communautés. L'homme devient producteur de ses propres ressources. La Préhistoire se termine en 3200 avant Jésus-Christ, avec l'invention de l'</w:t>
      </w:r>
      <w:hyperlink r:id="rId7" w:tooltip="Écriture" w:history="1">
        <w:r w:rsidRPr="003F279A">
          <w:rPr>
            <w:rStyle w:val="Lienhypertexte"/>
            <w:rFonts w:ascii="Times New Roman" w:hAnsi="Times New Roman" w:cs="Times New Roman"/>
            <w:color w:val="auto"/>
            <w:sz w:val="24"/>
            <w:szCs w:val="24"/>
            <w:u w:val="none"/>
            <w:shd w:val="clear" w:color="auto" w:fill="FFFFFF"/>
          </w:rPr>
          <w:t>écriture</w:t>
        </w:r>
      </w:hyperlink>
      <w:r w:rsidRPr="003F279A">
        <w:rPr>
          <w:rStyle w:val="Lienhypertexte"/>
          <w:rFonts w:ascii="Times New Roman" w:hAnsi="Times New Roman" w:cs="Times New Roman"/>
          <w:color w:val="auto"/>
          <w:sz w:val="24"/>
          <w:szCs w:val="24"/>
          <w:u w:val="none"/>
          <w:shd w:val="clear" w:color="auto" w:fill="FFFFFF"/>
        </w:rPr>
        <w:t xml:space="preserve"> en Mésopotamie</w:t>
      </w:r>
      <w:r w:rsidRPr="003F279A">
        <w:rPr>
          <w:rFonts w:ascii="Times New Roman" w:hAnsi="Times New Roman" w:cs="Times New Roman"/>
          <w:sz w:val="24"/>
          <w:szCs w:val="24"/>
          <w:shd w:val="clear" w:color="auto" w:fill="FFFFFF"/>
        </w:rPr>
        <w:t>.</w:t>
      </w:r>
    </w:p>
    <w:p w:rsidR="00703299" w:rsidRPr="003F279A" w:rsidRDefault="00703299" w:rsidP="00703299">
      <w:pPr>
        <w:pStyle w:val="Paragraphedeliste"/>
        <w:spacing w:line="276" w:lineRule="auto"/>
        <w:ind w:left="1080"/>
        <w:jc w:val="both"/>
        <w:rPr>
          <w:rFonts w:ascii="Times New Roman" w:hAnsi="Times New Roman" w:cs="Times New Roman"/>
          <w:sz w:val="24"/>
          <w:szCs w:val="24"/>
          <w:shd w:val="clear" w:color="auto" w:fill="FFFFFF"/>
        </w:rPr>
      </w:pPr>
    </w:p>
    <w:p w:rsidR="00703299" w:rsidRPr="00EC10C1" w:rsidRDefault="00703299" w:rsidP="00703299">
      <w:pPr>
        <w:pStyle w:val="Paragraphedeliste"/>
        <w:numPr>
          <w:ilvl w:val="0"/>
          <w:numId w:val="1"/>
        </w:numPr>
        <w:spacing w:line="276" w:lineRule="auto"/>
        <w:jc w:val="both"/>
        <w:rPr>
          <w:rFonts w:ascii="Times New Roman" w:hAnsi="Times New Roman" w:cs="Times New Roman"/>
          <w:b/>
          <w:sz w:val="24"/>
          <w:szCs w:val="24"/>
          <w:u w:val="single"/>
          <w:shd w:val="clear" w:color="auto" w:fill="FFFFFF"/>
        </w:rPr>
      </w:pPr>
      <w:r w:rsidRPr="00DC6C45">
        <w:rPr>
          <w:rFonts w:ascii="Times New Roman" w:hAnsi="Times New Roman" w:cs="Times New Roman"/>
          <w:b/>
          <w:sz w:val="24"/>
          <w:szCs w:val="24"/>
          <w:shd w:val="clear" w:color="auto" w:fill="FFFFFF"/>
        </w:rPr>
        <w:t xml:space="preserve">L’antiquité : </w:t>
      </w:r>
      <w:r w:rsidRPr="003F279A">
        <w:rPr>
          <w:rFonts w:ascii="Times New Roman" w:hAnsi="Times New Roman" w:cs="Times New Roman"/>
          <w:sz w:val="24"/>
          <w:szCs w:val="24"/>
          <w:shd w:val="clear" w:color="auto" w:fill="FFFFFF"/>
        </w:rPr>
        <w:t>Dans la sphère occidentale, l’antiquité commence au début du troisième millénaire avant notre ère, pour se terminer à la fin du Ve siècle. L’invention de l’écriture et la révolution agricole contribuent à la naissance des premières grandes civilisations, en Mésopotamie et en Egypte. Dès lors, la civilisation antique se propage le long de la mer méditerranée. Les antiquités grecques et romaines ont marqué la langue, les lois, l’organisation sociale, l’économie, les techniques des peuples colonisés du bassin méditerranéen et de l’E</w:t>
      </w:r>
      <w:r w:rsidRPr="00EC10C1">
        <w:rPr>
          <w:rFonts w:ascii="Times New Roman" w:hAnsi="Times New Roman" w:cs="Times New Roman"/>
          <w:sz w:val="24"/>
          <w:szCs w:val="24"/>
          <w:shd w:val="clear" w:color="auto" w:fill="FFFFFF"/>
        </w:rPr>
        <w:t>urope continentale. L’Antiquité gréco-romaine tient une grande place dans l’Europe occidentale qui y a puisé régulièrement ses modèles artistiques, scientifiques, intellectuelles, politiques, juridique … Durant cette période, l’Empire Romain s’étend tout autour de la Méditerranée. Les Romains envahissent la Gaule. Mais à partir du IVème siècle, les peuples venus de l’est envahissent l’’Empire Romain et celui-ci s’effondre. En même temps, une nouvelle religion, prêchée par Jésus naît : le christianisme.</w:t>
      </w:r>
      <w:r w:rsidRPr="00EC10C1">
        <w:rPr>
          <w:rFonts w:ascii="Arial" w:hAnsi="Arial" w:cs="Arial"/>
          <w:sz w:val="27"/>
          <w:szCs w:val="27"/>
          <w:shd w:val="clear" w:color="auto" w:fill="FFFFFF"/>
        </w:rPr>
        <w:t xml:space="preserve"> </w:t>
      </w:r>
      <w:r w:rsidRPr="00EC10C1">
        <w:rPr>
          <w:rFonts w:ascii="Times New Roman" w:hAnsi="Times New Roman" w:cs="Times New Roman"/>
          <w:sz w:val="24"/>
          <w:szCs w:val="24"/>
          <w:shd w:val="clear" w:color="auto" w:fill="FFFFFF"/>
        </w:rPr>
        <w:t>Traditionnellement, la fin de l’antiquité est située à la chute de l’empire romain d’occident en 476.</w:t>
      </w:r>
    </w:p>
    <w:p w:rsidR="00703299" w:rsidRPr="00EC10C1" w:rsidRDefault="00703299" w:rsidP="00703299">
      <w:pPr>
        <w:pStyle w:val="definition"/>
        <w:numPr>
          <w:ilvl w:val="0"/>
          <w:numId w:val="1"/>
        </w:numPr>
        <w:spacing w:before="0" w:beforeAutospacing="0" w:after="92" w:afterAutospacing="0" w:line="276" w:lineRule="auto"/>
        <w:jc w:val="both"/>
        <w:rPr>
          <w:shd w:val="clear" w:color="auto" w:fill="FFFFFF"/>
        </w:rPr>
      </w:pPr>
      <w:r w:rsidRPr="00EC10C1">
        <w:rPr>
          <w:b/>
        </w:rPr>
        <w:t>Le</w:t>
      </w:r>
      <w:r w:rsidRPr="00EC10C1">
        <w:t> </w:t>
      </w:r>
      <w:r w:rsidRPr="00EC10C1">
        <w:rPr>
          <w:b/>
          <w:bCs/>
        </w:rPr>
        <w:t>Moyen Âge</w:t>
      </w:r>
      <w:r w:rsidRPr="00EC10C1">
        <w:t xml:space="preserve"> : le Moyen Âge occidental est traditionnellement situé entre la chute du dernier empereur romain d'Occident (476) et la découverte de l'Amérique (1492), même si ces deux dates sont arbitraires et restent discutables. En France, </w:t>
      </w:r>
      <w:r w:rsidRPr="00EC10C1">
        <w:rPr>
          <w:shd w:val="clear" w:color="auto" w:fill="FFFFFF"/>
        </w:rPr>
        <w:t>trois dynasties - mérovingienne (celle de Clovis), carolingienne (celle de Charlemagne) et capétienne (à partir d'Hugues Capet) - marquent l'histoire politique du royaume, longtemps dépendant des luttes féodales.</w:t>
      </w:r>
    </w:p>
    <w:p w:rsidR="00703299" w:rsidRDefault="00703299" w:rsidP="00703299">
      <w:pPr>
        <w:pStyle w:val="definition"/>
        <w:spacing w:before="0" w:beforeAutospacing="0" w:after="92" w:afterAutospacing="0" w:line="276" w:lineRule="auto"/>
        <w:ind w:left="1080" w:firstLine="338"/>
        <w:jc w:val="both"/>
      </w:pPr>
      <w:r w:rsidRPr="00EC10C1">
        <w:rPr>
          <w:shd w:val="clear" w:color="auto" w:fill="FFFFFF"/>
        </w:rPr>
        <w:lastRenderedPageBreak/>
        <w:t xml:space="preserve"> </w:t>
      </w:r>
      <w:r w:rsidRPr="00EC10C1">
        <w:t>La civilisation médiévale se définit par quatre caractéristiques majeures : le morcellement de l'autorité politique et le recul de la notion d'État ; une économie à dominante agricole ; une société cloisonnée entre une noblesse militaire, qui possède la terre, et une classe paysanne asservie ; enfin, un système de pensée fondé sur la foi religieuse et</w:t>
      </w:r>
      <w:r>
        <w:t xml:space="preserve"> défini par l'Église chrétienne.</w:t>
      </w:r>
    </w:p>
    <w:p w:rsidR="00703299" w:rsidRPr="003F279A" w:rsidRDefault="00703299" w:rsidP="00703299">
      <w:pPr>
        <w:pStyle w:val="definition"/>
        <w:spacing w:before="0" w:beforeAutospacing="0" w:after="92" w:afterAutospacing="0" w:line="276" w:lineRule="auto"/>
        <w:ind w:left="1080" w:firstLine="338"/>
        <w:jc w:val="both"/>
      </w:pPr>
    </w:p>
    <w:p w:rsidR="00703299" w:rsidRPr="0080257B" w:rsidRDefault="00703299" w:rsidP="00703299">
      <w:pPr>
        <w:pStyle w:val="alinea"/>
        <w:numPr>
          <w:ilvl w:val="0"/>
          <w:numId w:val="1"/>
        </w:numPr>
        <w:spacing w:before="0" w:beforeAutospacing="0" w:after="0" w:afterAutospacing="0" w:line="276" w:lineRule="auto"/>
        <w:jc w:val="both"/>
      </w:pPr>
      <w:r w:rsidRPr="00EC10C1">
        <w:rPr>
          <w:b/>
          <w:shd w:val="clear" w:color="auto" w:fill="FFFFFF"/>
        </w:rPr>
        <w:t xml:space="preserve">L'Époque moderne : </w:t>
      </w:r>
      <w:r w:rsidRPr="00EC10C1">
        <w:rPr>
          <w:shd w:val="clear" w:color="auto" w:fill="FFFFFF"/>
        </w:rPr>
        <w:t>elle couvre trois siècles, de la fin du </w:t>
      </w:r>
      <w:hyperlink r:id="rId8" w:tooltip="XVe siècle" w:history="1">
        <w:r w:rsidRPr="00EC10C1">
          <w:rPr>
            <w:rStyle w:val="romain"/>
            <w:smallCaps/>
            <w:shd w:val="clear" w:color="auto" w:fill="FFFFFF"/>
          </w:rPr>
          <w:t>xv</w:t>
        </w:r>
        <w:r w:rsidRPr="00EC10C1">
          <w:rPr>
            <w:rStyle w:val="Lienhypertexte"/>
            <w:color w:val="auto"/>
            <w:u w:val="none"/>
            <w:shd w:val="clear" w:color="auto" w:fill="FFFFFF"/>
            <w:vertAlign w:val="superscript"/>
          </w:rPr>
          <w:t>e</w:t>
        </w:r>
        <w:r w:rsidRPr="00EC10C1">
          <w:rPr>
            <w:rStyle w:val="Lienhypertexte"/>
            <w:color w:val="auto"/>
            <w:u w:val="none"/>
            <w:shd w:val="clear" w:color="auto" w:fill="FFFFFF"/>
          </w:rPr>
          <w:t> siècle</w:t>
        </w:r>
      </w:hyperlink>
      <w:r w:rsidRPr="00EC10C1">
        <w:rPr>
          <w:shd w:val="clear" w:color="auto" w:fill="FFFFFF"/>
        </w:rPr>
        <w:t> à la fin du </w:t>
      </w:r>
      <w:hyperlink r:id="rId9" w:tooltip="XVIIIe siècle" w:history="1">
        <w:r w:rsidRPr="00EC10C1">
          <w:rPr>
            <w:rStyle w:val="romain"/>
            <w:smallCaps/>
            <w:shd w:val="clear" w:color="auto" w:fill="FFFFFF"/>
          </w:rPr>
          <w:t>xviii</w:t>
        </w:r>
        <w:r w:rsidRPr="00EC10C1">
          <w:rPr>
            <w:rStyle w:val="Lienhypertexte"/>
            <w:color w:val="auto"/>
            <w:u w:val="none"/>
            <w:shd w:val="clear" w:color="auto" w:fill="FFFFFF"/>
            <w:vertAlign w:val="superscript"/>
          </w:rPr>
          <w:t>e</w:t>
        </w:r>
        <w:r w:rsidRPr="00EC10C1">
          <w:rPr>
            <w:rStyle w:val="Lienhypertexte"/>
            <w:color w:val="auto"/>
            <w:u w:val="none"/>
            <w:shd w:val="clear" w:color="auto" w:fill="FFFFFF"/>
          </w:rPr>
          <w:t> siècle</w:t>
        </w:r>
      </w:hyperlink>
      <w:r w:rsidRPr="00EC10C1">
        <w:rPr>
          <w:shd w:val="clear" w:color="auto" w:fill="FFFFFF"/>
        </w:rPr>
        <w:t xml:space="preserve">. </w:t>
      </w:r>
      <w:r w:rsidRPr="00EC10C1">
        <w:rPr>
          <w:bCs/>
          <w:spacing w:val="-6"/>
        </w:rPr>
        <w:t>En France, elle peut être subdivisée en trois périodes, marquées par d’importantes transformations politiques et artistiques :</w:t>
      </w:r>
    </w:p>
    <w:p w:rsidR="00703299" w:rsidRPr="0080257B" w:rsidRDefault="00703299" w:rsidP="00703299">
      <w:pPr>
        <w:pStyle w:val="alinea"/>
        <w:numPr>
          <w:ilvl w:val="0"/>
          <w:numId w:val="2"/>
        </w:numPr>
        <w:spacing w:before="0" w:beforeAutospacing="0" w:after="0" w:afterAutospacing="0" w:line="276" w:lineRule="auto"/>
        <w:jc w:val="both"/>
      </w:pPr>
      <w:r>
        <w:rPr>
          <w:bCs/>
          <w:spacing w:val="-6"/>
        </w:rPr>
        <w:t>L</w:t>
      </w:r>
      <w:r w:rsidRPr="0080257B">
        <w:rPr>
          <w:bCs/>
          <w:spacing w:val="-6"/>
        </w:rPr>
        <w:t>a Renaissance (de la fin du XV</w:t>
      </w:r>
      <w:r w:rsidRPr="0080257B">
        <w:rPr>
          <w:bCs/>
          <w:spacing w:val="-6"/>
          <w:vertAlign w:val="superscript"/>
        </w:rPr>
        <w:t>e </w:t>
      </w:r>
      <w:r w:rsidRPr="0080257B">
        <w:rPr>
          <w:bCs/>
          <w:spacing w:val="-6"/>
        </w:rPr>
        <w:t>siècle aux premières décennies du XVII</w:t>
      </w:r>
      <w:r w:rsidRPr="0080257B">
        <w:rPr>
          <w:bCs/>
          <w:spacing w:val="-6"/>
          <w:vertAlign w:val="superscript"/>
        </w:rPr>
        <w:t>e </w:t>
      </w:r>
      <w:r>
        <w:rPr>
          <w:bCs/>
          <w:spacing w:val="-6"/>
        </w:rPr>
        <w:t>siècle.</w:t>
      </w:r>
    </w:p>
    <w:p w:rsidR="00703299" w:rsidRPr="0080257B" w:rsidRDefault="00703299" w:rsidP="00703299">
      <w:pPr>
        <w:pStyle w:val="alinea"/>
        <w:numPr>
          <w:ilvl w:val="0"/>
          <w:numId w:val="2"/>
        </w:numPr>
        <w:spacing w:before="0" w:beforeAutospacing="0" w:after="0" w:afterAutospacing="0" w:line="276" w:lineRule="auto"/>
        <w:jc w:val="both"/>
      </w:pPr>
      <w:r>
        <w:rPr>
          <w:bCs/>
          <w:spacing w:val="-6"/>
        </w:rPr>
        <w:t>L</w:t>
      </w:r>
      <w:r w:rsidRPr="0080257B">
        <w:rPr>
          <w:bCs/>
          <w:spacing w:val="-6"/>
        </w:rPr>
        <w:t>’avènement de l’État-nation sous le règne de Louis XIV (XVII</w:t>
      </w:r>
      <w:r w:rsidRPr="0080257B">
        <w:rPr>
          <w:bCs/>
          <w:spacing w:val="-6"/>
          <w:vertAlign w:val="superscript"/>
        </w:rPr>
        <w:t>e</w:t>
      </w:r>
      <w:r w:rsidRPr="0080257B">
        <w:rPr>
          <w:bCs/>
          <w:spacing w:val="-6"/>
        </w:rPr>
        <w:t> et début du XVIII</w:t>
      </w:r>
      <w:r w:rsidRPr="0080257B">
        <w:rPr>
          <w:bCs/>
          <w:spacing w:val="-6"/>
          <w:vertAlign w:val="superscript"/>
        </w:rPr>
        <w:t>e </w:t>
      </w:r>
      <w:r w:rsidRPr="0080257B">
        <w:rPr>
          <w:bCs/>
          <w:spacing w:val="-6"/>
        </w:rPr>
        <w:t>siècle)</w:t>
      </w:r>
      <w:r>
        <w:rPr>
          <w:bCs/>
          <w:spacing w:val="-6"/>
        </w:rPr>
        <w:t>.</w:t>
      </w:r>
    </w:p>
    <w:p w:rsidR="00703299" w:rsidRDefault="00703299" w:rsidP="00703299">
      <w:pPr>
        <w:pStyle w:val="alinea"/>
        <w:numPr>
          <w:ilvl w:val="0"/>
          <w:numId w:val="2"/>
        </w:numPr>
        <w:spacing w:before="0" w:beforeAutospacing="0" w:after="0" w:afterAutospacing="0" w:line="276" w:lineRule="auto"/>
        <w:jc w:val="both"/>
      </w:pPr>
      <w:r>
        <w:rPr>
          <w:bCs/>
          <w:spacing w:val="-6"/>
        </w:rPr>
        <w:t>L</w:t>
      </w:r>
      <w:r w:rsidRPr="0080257B">
        <w:rPr>
          <w:bCs/>
          <w:spacing w:val="-6"/>
        </w:rPr>
        <w:t>e siècle des Lumières (le XVIII</w:t>
      </w:r>
      <w:r w:rsidRPr="0080257B">
        <w:rPr>
          <w:bCs/>
          <w:spacing w:val="-6"/>
          <w:vertAlign w:val="superscript"/>
        </w:rPr>
        <w:t>e </w:t>
      </w:r>
      <w:r w:rsidRPr="0080257B">
        <w:rPr>
          <w:bCs/>
          <w:spacing w:val="-6"/>
        </w:rPr>
        <w:t>siècle jusqu’à la Révolution)</w:t>
      </w:r>
      <w:r>
        <w:rPr>
          <w:bCs/>
          <w:spacing w:val="-6"/>
        </w:rPr>
        <w:t>.</w:t>
      </w:r>
    </w:p>
    <w:p w:rsidR="00703299" w:rsidRPr="0080257B" w:rsidRDefault="00703299" w:rsidP="00703299">
      <w:pPr>
        <w:pStyle w:val="alinea"/>
        <w:numPr>
          <w:ilvl w:val="0"/>
          <w:numId w:val="1"/>
        </w:numPr>
        <w:spacing w:before="0" w:beforeAutospacing="0" w:after="92" w:afterAutospacing="0" w:line="276" w:lineRule="auto"/>
        <w:jc w:val="both"/>
      </w:pPr>
      <w:r w:rsidRPr="0080257B">
        <w:rPr>
          <w:b/>
        </w:rPr>
        <w:t>L'époque contemporaine</w:t>
      </w:r>
      <w:r>
        <w:rPr>
          <w:b/>
        </w:rPr>
        <w:t> </w:t>
      </w:r>
      <w:r>
        <w:t>:</w:t>
      </w:r>
      <w:r w:rsidRPr="0080257B">
        <w:t xml:space="preserve"> est la période débutant à la Révolution française, en 1789, jusqu'à aujourd'hui, El</w:t>
      </w:r>
      <w:r>
        <w:t>le couvre la fin du XVIIIe siècle, le XIXe, le XXe</w:t>
      </w:r>
      <w:r w:rsidRPr="0080257B">
        <w:t xml:space="preserve"> et le début du XXIe</w:t>
      </w:r>
      <w:r>
        <w:t xml:space="preserve"> siècle. E</w:t>
      </w:r>
      <w:r w:rsidRPr="0080257B">
        <w:t>lle couvre la fin de la monarchie, la révolution industr</w:t>
      </w:r>
      <w:r>
        <w:t xml:space="preserve">ielle, les guerres mondiales, </w:t>
      </w:r>
      <w:r w:rsidRPr="0080257B">
        <w:t>le</w:t>
      </w:r>
      <w:r>
        <w:t xml:space="preserve"> progrès technique et scientifique et le</w:t>
      </w:r>
      <w:r w:rsidRPr="0080257B">
        <w:t xml:space="preserve"> développement des moyens de communication.</w:t>
      </w:r>
    </w:p>
    <w:p w:rsidR="00F85ACF" w:rsidRDefault="00703299">
      <w:bookmarkStart w:id="0" w:name="_GoBack"/>
      <w:bookmarkEnd w:id="0"/>
    </w:p>
    <w:sectPr w:rsidR="00F85A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2C07"/>
    <w:multiLevelType w:val="hybridMultilevel"/>
    <w:tmpl w:val="81CCFDB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
    <w:nsid w:val="78605E5D"/>
    <w:multiLevelType w:val="hybridMultilevel"/>
    <w:tmpl w:val="B1C8CA10"/>
    <w:lvl w:ilvl="0" w:tplc="3E62B7E8">
      <w:start w:val="1"/>
      <w:numFmt w:val="upperRoman"/>
      <w:lvlText w:val="%1."/>
      <w:lvlJc w:val="left"/>
      <w:pPr>
        <w:ind w:left="1080" w:hanging="72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2"/>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F00"/>
    <w:rsid w:val="00045F00"/>
    <w:rsid w:val="00703299"/>
    <w:rsid w:val="00A840AF"/>
    <w:rsid w:val="00BD74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6D0DD9-04BC-4D97-A2CF-F69B180F9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9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703299"/>
    <w:rPr>
      <w:color w:val="0000FF"/>
      <w:u w:val="single"/>
    </w:rPr>
  </w:style>
  <w:style w:type="paragraph" w:styleId="Paragraphedeliste">
    <w:name w:val="List Paragraph"/>
    <w:basedOn w:val="Normal"/>
    <w:uiPriority w:val="34"/>
    <w:qFormat/>
    <w:rsid w:val="00703299"/>
    <w:pPr>
      <w:ind w:left="720"/>
      <w:contextualSpacing/>
    </w:pPr>
  </w:style>
  <w:style w:type="paragraph" w:customStyle="1" w:styleId="definition">
    <w:name w:val="definition"/>
    <w:basedOn w:val="Normal"/>
    <w:rsid w:val="0070329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linea">
    <w:name w:val="alinea"/>
    <w:basedOn w:val="Normal"/>
    <w:rsid w:val="0070329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omain">
    <w:name w:val="romain"/>
    <w:basedOn w:val="Policepardfaut"/>
    <w:rsid w:val="00703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XVe_si%C3%A8cle" TargetMode="External"/><Relationship Id="rId3" Type="http://schemas.openxmlformats.org/officeDocument/2006/relationships/settings" Target="settings.xml"/><Relationship Id="rId7" Type="http://schemas.openxmlformats.org/officeDocument/2006/relationships/hyperlink" Target="https://fr.vikidia.org/wiki/%C3%89critu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vikidia.org/wiki/Origines_de_l%27homme" TargetMode="External"/><Relationship Id="rId11" Type="http://schemas.openxmlformats.org/officeDocument/2006/relationships/theme" Target="theme/theme1.xml"/><Relationship Id="rId5" Type="http://schemas.openxmlformats.org/officeDocument/2006/relationships/hyperlink" Target="https://fr.vikidia.org/wiki/Pr%C3%A9histoir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r.wikipedia.org/wiki/XVIIIe_si%C3%A8cl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3783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ADM-PC</dc:creator>
  <cp:keywords/>
  <dc:description/>
  <cp:lastModifiedBy>ADM-PC</cp:lastModifiedBy>
  <cp:revision>2</cp:revision>
  <dcterms:created xsi:type="dcterms:W3CDTF">2022-03-25T19:35:00Z</dcterms:created>
  <dcterms:modified xsi:type="dcterms:W3CDTF">2022-03-25T19:35:00Z</dcterms:modified>
</cp:coreProperties>
</file>